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3891B" w14:textId="344067DB" w:rsidR="00DF018A" w:rsidRPr="001B14C1" w:rsidRDefault="00DF018A" w:rsidP="00DF018A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</w:t>
      </w:r>
      <w:r w:rsidR="00A30758">
        <w:rPr>
          <w:rFonts w:eastAsia="SimSun"/>
          <w:lang w:eastAsia="zh-CN"/>
        </w:rPr>
        <w:t>4</w:t>
      </w:r>
      <w:r w:rsidR="00D371FB">
        <w:rPr>
          <w:rFonts w:eastAsia="SimSun"/>
          <w:lang w:eastAsia="zh-CN"/>
        </w:rPr>
        <w:t>bis-e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</w:t>
      </w:r>
      <w:r w:rsidR="00371259">
        <w:tab/>
      </w:r>
      <w:r w:rsidR="00371259">
        <w:tab/>
      </w:r>
      <w:r>
        <w:t xml:space="preserve">   </w:t>
      </w:r>
      <w:r>
        <w:rPr>
          <w:rFonts w:eastAsia="SimSun" w:hint="eastAsia"/>
          <w:lang w:eastAsia="zh-CN"/>
        </w:rPr>
        <w:t xml:space="preserve"> </w:t>
      </w:r>
      <w:r w:rsidRPr="00E01EBB">
        <w:t>R</w:t>
      </w:r>
      <w:r w:rsidRPr="002725A3">
        <w:t>4-</w:t>
      </w:r>
      <w:r w:rsidR="00A30758">
        <w:t>2</w:t>
      </w:r>
      <w:r w:rsidR="00A30758" w:rsidRPr="0037674F">
        <w:t>00</w:t>
      </w:r>
      <w:r w:rsidR="0037674F" w:rsidRPr="0037674F">
        <w:t>3776</w:t>
      </w:r>
    </w:p>
    <w:p w14:paraId="35BF833C" w14:textId="472EC821" w:rsidR="00DF018A" w:rsidRPr="008E18F2" w:rsidRDefault="00D371FB" w:rsidP="00DF018A">
      <w:pPr>
        <w:pStyle w:val="a"/>
        <w:rPr>
          <w:rFonts w:eastAsia="SimSun"/>
          <w:lang w:eastAsia="zh-CN"/>
        </w:rPr>
      </w:pPr>
      <w:r>
        <w:rPr>
          <w:rFonts w:cs="Arial"/>
        </w:rPr>
        <w:t>Electronic meeting</w:t>
      </w:r>
      <w:r w:rsidR="00DF018A" w:rsidRPr="00E23C3E">
        <w:rPr>
          <w:rFonts w:hint="eastAsia"/>
        </w:rPr>
        <w:t>,</w:t>
      </w:r>
      <w:r w:rsidR="00AD15D4">
        <w:t xml:space="preserve"> </w:t>
      </w:r>
      <w:r w:rsidR="00A30758">
        <w:rPr>
          <w:rFonts w:cs="Arial"/>
        </w:rPr>
        <w:t>2</w:t>
      </w:r>
      <w:r>
        <w:rPr>
          <w:rFonts w:cs="Arial"/>
        </w:rPr>
        <w:t>0</w:t>
      </w:r>
      <w:r w:rsidR="00DF018A" w:rsidRPr="00084769">
        <w:rPr>
          <w:rFonts w:cs="Arial"/>
        </w:rPr>
        <w:t xml:space="preserve"> – </w:t>
      </w:r>
      <w:r>
        <w:rPr>
          <w:rFonts w:cs="Arial"/>
        </w:rPr>
        <w:t>30</w:t>
      </w:r>
      <w:r w:rsidR="00DF018A">
        <w:rPr>
          <w:rFonts w:cs="Arial"/>
        </w:rPr>
        <w:t xml:space="preserve"> </w:t>
      </w:r>
      <w:r>
        <w:rPr>
          <w:rFonts w:cs="Arial"/>
        </w:rPr>
        <w:t>April</w:t>
      </w:r>
      <w:r w:rsidR="00DF018A">
        <w:t>, 20</w:t>
      </w:r>
      <w:r w:rsidR="00A30758">
        <w:t>20</w:t>
      </w:r>
    </w:p>
    <w:bookmarkEnd w:id="0"/>
    <w:bookmarkEnd w:id="1"/>
    <w:p w14:paraId="0F1A7801" w14:textId="77777777" w:rsidR="0043450E" w:rsidRPr="009674D4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057A84BA" w14:textId="691F39B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89736D">
        <w:rPr>
          <w:sz w:val="22"/>
        </w:rPr>
        <w:t>, Nokia Shanghai Bell</w:t>
      </w:r>
    </w:p>
    <w:p w14:paraId="48427630" w14:textId="2D4D0287" w:rsidR="0043450E" w:rsidRDefault="0043450E" w:rsidP="0043450E">
      <w:pPr>
        <w:rPr>
          <w:color w:val="000000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3174F7">
        <w:rPr>
          <w:sz w:val="22"/>
        </w:rPr>
        <w:t>IAB-</w:t>
      </w:r>
      <w:r w:rsidR="0091338C">
        <w:rPr>
          <w:sz w:val="22"/>
        </w:rPr>
        <w:t xml:space="preserve">MT </w:t>
      </w:r>
      <w:r w:rsidR="00130ACE">
        <w:rPr>
          <w:sz w:val="22"/>
        </w:rPr>
        <w:t>blocking requirements</w:t>
      </w:r>
      <w:r w:rsidR="0091338C">
        <w:rPr>
          <w:sz w:val="22"/>
        </w:rPr>
        <w:t xml:space="preserve"> in FR2</w:t>
      </w:r>
    </w:p>
    <w:p w14:paraId="38BCE621" w14:textId="1924831F" w:rsidR="00C24D31" w:rsidRPr="000D5C67" w:rsidRDefault="00C24D31" w:rsidP="0043450E">
      <w:pPr>
        <w:rPr>
          <w:sz w:val="22"/>
        </w:rPr>
      </w:pPr>
      <w:r w:rsidRPr="0057669F">
        <w:rPr>
          <w:b/>
          <w:color w:val="000000"/>
          <w:lang w:val="en-US"/>
        </w:rPr>
        <w:t>Agenda item:</w:t>
      </w:r>
      <w:r w:rsidR="00E46CA7">
        <w:rPr>
          <w:b/>
          <w:color w:val="000000"/>
          <w:lang w:val="en-US"/>
        </w:rPr>
        <w:tab/>
      </w:r>
      <w:r w:rsidR="00E46CA7">
        <w:rPr>
          <w:b/>
          <w:color w:val="000000"/>
          <w:lang w:val="en-US"/>
        </w:rPr>
        <w:tab/>
      </w:r>
      <w:r w:rsidR="00E46CA7">
        <w:rPr>
          <w:b/>
          <w:color w:val="000000"/>
          <w:lang w:val="en-US"/>
        </w:rPr>
        <w:tab/>
      </w:r>
      <w:r w:rsidR="0037674F">
        <w:rPr>
          <w:sz w:val="22"/>
          <w:lang w:val="en-US"/>
        </w:rPr>
        <w:t>6.5.2.2.2</w:t>
      </w:r>
    </w:p>
    <w:p w14:paraId="41D55FE6" w14:textId="37A7C911" w:rsidR="00C24D31" w:rsidRPr="000D5C67" w:rsidRDefault="00C24D31" w:rsidP="0043450E">
      <w:pPr>
        <w:rPr>
          <w:sz w:val="22"/>
        </w:rPr>
      </w:pPr>
      <w:r w:rsidRPr="0057669F">
        <w:rPr>
          <w:b/>
          <w:sz w:val="22"/>
        </w:rPr>
        <w:t>Document for:</w:t>
      </w:r>
      <w:r w:rsidR="00E46CA7">
        <w:rPr>
          <w:b/>
          <w:sz w:val="22"/>
        </w:rPr>
        <w:tab/>
      </w:r>
      <w:r w:rsidR="00E46CA7" w:rsidRPr="00E46CA7">
        <w:rPr>
          <w:sz w:val="22"/>
        </w:rPr>
        <w:tab/>
      </w:r>
      <w:r w:rsidR="00E46CA7" w:rsidRPr="00E46CA7">
        <w:rPr>
          <w:sz w:val="22"/>
        </w:rPr>
        <w:tab/>
      </w:r>
      <w:r w:rsidR="00E02AD5" w:rsidRPr="00DA21EC">
        <w:rPr>
          <w:sz w:val="22"/>
        </w:rPr>
        <w:t>Approval</w:t>
      </w:r>
    </w:p>
    <w:p w14:paraId="31CCC137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81A2A01" w14:textId="7D6B1BE4" w:rsidR="00CF249F" w:rsidRDefault="00F47649" w:rsidP="000B5E8E">
      <w:r>
        <w:rPr>
          <w:rFonts w:eastAsia="Batang"/>
          <w:lang w:eastAsia="ko-KR"/>
        </w:rPr>
        <w:t xml:space="preserve">Part of the Integrated </w:t>
      </w:r>
      <w:r w:rsidR="00BA3DB3">
        <w:rPr>
          <w:rFonts w:eastAsia="Batang"/>
          <w:lang w:eastAsia="ko-KR"/>
        </w:rPr>
        <w:t>A</w:t>
      </w:r>
      <w:r>
        <w:rPr>
          <w:rFonts w:eastAsia="Batang"/>
          <w:lang w:eastAsia="ko-KR"/>
        </w:rPr>
        <w:t>ccess and Backhaul work item is defining the RF requirements</w:t>
      </w:r>
      <w:r w:rsidR="001779BE">
        <w:rPr>
          <w:rFonts w:eastAsia="Batang"/>
          <w:lang w:eastAsia="ko-KR"/>
        </w:rPr>
        <w:t>.</w:t>
      </w:r>
      <w:r>
        <w:rPr>
          <w:rFonts w:eastAsia="Batang"/>
          <w:lang w:eastAsia="ko-KR"/>
        </w:rPr>
        <w:t xml:space="preserve"> In this contribution we </w:t>
      </w:r>
      <w:r w:rsidR="001D6F67">
        <w:rPr>
          <w:rFonts w:eastAsia="Batang"/>
          <w:lang w:eastAsia="ko-KR"/>
        </w:rPr>
        <w:t xml:space="preserve">discuss the </w:t>
      </w:r>
      <w:r w:rsidR="005B58D3">
        <w:rPr>
          <w:rFonts w:eastAsia="Batang"/>
          <w:lang w:eastAsia="ko-KR"/>
        </w:rPr>
        <w:t>in-band and out-of-band blocking requirements.</w:t>
      </w:r>
    </w:p>
    <w:p w14:paraId="1ECA57B6" w14:textId="77777777" w:rsidR="001C3296" w:rsidRDefault="001C3296" w:rsidP="001C3296">
      <w:pPr>
        <w:pStyle w:val="Heading1"/>
      </w:pPr>
      <w:r>
        <w:t>2</w:t>
      </w:r>
      <w:r>
        <w:tab/>
        <w:t>Discussion</w:t>
      </w:r>
    </w:p>
    <w:p w14:paraId="3531A2D6" w14:textId="77777777" w:rsidR="006E7E64" w:rsidRDefault="005B58D3" w:rsidP="00D54817">
      <w:pPr>
        <w:rPr>
          <w:rFonts w:eastAsia="Batang"/>
          <w:lang w:eastAsia="ko-KR"/>
        </w:rPr>
      </w:pPr>
      <w:bookmarkStart w:id="2" w:name="_Hlk36986833"/>
      <w:r w:rsidRPr="005B58D3">
        <w:rPr>
          <w:rFonts w:eastAsia="Batang"/>
          <w:lang w:eastAsia="ko-KR"/>
        </w:rPr>
        <w:t>In RAN4#94-e</w:t>
      </w:r>
      <w:r>
        <w:rPr>
          <w:rFonts w:eastAsia="Batang"/>
          <w:lang w:eastAsia="ko-KR"/>
        </w:rPr>
        <w:t xml:space="preserve"> a WF for IAB RX RF requirement in [1] was agreed, containing agreement to re-use BS OOB blocking level and the boundary frequency between in-band and out-of-band frequencies. In another WF on IAB-MT ACS and IBB in FR2 in [2] it was agreed that in-band blocking requirement is needed, but wanted and interfering signal levels and other details were left open. Additionally, in WF on IAB MT class definition</w:t>
      </w:r>
      <w:r w:rsidR="000E1116">
        <w:rPr>
          <w:rFonts w:eastAsia="Batang"/>
          <w:lang w:eastAsia="ko-KR"/>
        </w:rPr>
        <w:t xml:space="preserve"> in [3]</w:t>
      </w:r>
      <w:r>
        <w:rPr>
          <w:rFonts w:eastAsia="Batang"/>
          <w:lang w:eastAsia="ko-KR"/>
        </w:rPr>
        <w:t xml:space="preserve"> it was agreed that</w:t>
      </w:r>
      <w:r w:rsidR="000E1116">
        <w:rPr>
          <w:rFonts w:eastAsia="Batang"/>
          <w:lang w:eastAsia="ko-KR"/>
        </w:rPr>
        <w:t xml:space="preserve"> two IAB-MT classes are defined as a starting point in Rel-16. </w:t>
      </w:r>
    </w:p>
    <w:p w14:paraId="64BC63D7" w14:textId="327A237E" w:rsidR="000E1116" w:rsidRDefault="000E1116" w:rsidP="00D54817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The classification </w:t>
      </w:r>
      <w:r w:rsidR="006E7E64">
        <w:rPr>
          <w:rFonts w:eastAsia="Batang"/>
          <w:lang w:eastAsia="ko-KR"/>
        </w:rPr>
        <w:t xml:space="preserve">and especially differences between Wide Area IAB-MTs and Local Area IAB-MTs </w:t>
      </w:r>
      <w:r>
        <w:rPr>
          <w:rFonts w:eastAsia="Batang"/>
          <w:lang w:eastAsia="ko-KR"/>
        </w:rPr>
        <w:t>is further discussed in [4]</w:t>
      </w:r>
      <w:r w:rsidR="006E7E64">
        <w:rPr>
          <w:rFonts w:eastAsia="Batang"/>
          <w:lang w:eastAsia="ko-KR"/>
        </w:rPr>
        <w:t>. The well-defined deployment scenario for Wide Area IAB-MTs, which makes it also possible to not specify RRM requirements, reminds a lot typical Wide Area Base Station deployments. This gives motivation to re-use BS requirements especially for out-of-band blocking which is aimed to stress the design also towards non-3GPP systems. As the deployment scenario does not significantly differ from BS deployment, the same requirements can be re-used.</w:t>
      </w:r>
      <w:r w:rsidR="00B759A4">
        <w:rPr>
          <w:rFonts w:eastAsia="Batang"/>
          <w:lang w:eastAsia="ko-KR"/>
        </w:rPr>
        <w:t xml:space="preserve"> BS requirements are class independent, and same approach can be re-used for IAB-MT.</w:t>
      </w:r>
    </w:p>
    <w:p w14:paraId="514B8B69" w14:textId="28C4DA86" w:rsidR="006E7E64" w:rsidRDefault="006E7E64" w:rsidP="00D54817">
      <w:pPr>
        <w:rPr>
          <w:rFonts w:eastAsia="Batang"/>
          <w:b/>
          <w:bCs/>
          <w:lang w:eastAsia="ko-KR"/>
        </w:rPr>
      </w:pPr>
      <w:r w:rsidRPr="006E7E64">
        <w:rPr>
          <w:rFonts w:eastAsia="Batang"/>
          <w:b/>
          <w:bCs/>
          <w:lang w:eastAsia="ko-KR"/>
        </w:rPr>
        <w:t>Proposal 1:</w:t>
      </w:r>
      <w:r>
        <w:rPr>
          <w:rFonts w:eastAsia="Batang"/>
          <w:b/>
          <w:bCs/>
          <w:lang w:eastAsia="ko-KR"/>
        </w:rPr>
        <w:t xml:space="preserve"> Re-use BS type 2-O out-of-band blocking requirements, including </w:t>
      </w:r>
      <w:r w:rsidR="00B759A4">
        <w:rPr>
          <w:rFonts w:eastAsia="Batang"/>
          <w:b/>
          <w:bCs/>
          <w:lang w:eastAsia="ko-KR"/>
        </w:rPr>
        <w:t>wanted signal level,</w:t>
      </w:r>
      <w:r>
        <w:rPr>
          <w:rFonts w:eastAsia="Batang"/>
          <w:b/>
          <w:bCs/>
          <w:lang w:eastAsia="ko-KR"/>
        </w:rPr>
        <w:t xml:space="preserve"> for IAB-MT in FR2</w:t>
      </w:r>
      <w:r w:rsidR="00B759A4">
        <w:rPr>
          <w:rFonts w:eastAsia="Batang"/>
          <w:b/>
          <w:bCs/>
          <w:lang w:eastAsia="ko-KR"/>
        </w:rPr>
        <w:t>.</w:t>
      </w:r>
    </w:p>
    <w:p w14:paraId="40DCD9D2" w14:textId="77777777" w:rsidR="00B759A4" w:rsidRDefault="00B759A4" w:rsidP="00D54817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The result of proposal 1 is that in FR2 IAB-MT and IAB-DU shall have </w:t>
      </w:r>
      <w:proofErr w:type="gramStart"/>
      <w:r>
        <w:rPr>
          <w:rFonts w:eastAsia="Batang"/>
          <w:lang w:eastAsia="ko-KR"/>
        </w:rPr>
        <w:t>exactly the same</w:t>
      </w:r>
      <w:proofErr w:type="gramEnd"/>
      <w:r>
        <w:rPr>
          <w:rFonts w:eastAsia="Batang"/>
          <w:lang w:eastAsia="ko-KR"/>
        </w:rPr>
        <w:t xml:space="preserve"> out-of-band blocking interfering signal characteristics. The only possible difference remains in the wanted signal details, especially whether CP-OFDM wanted signal is used. If all the other parameters are equal between IAB-MT and IAB-DU, careful consideration is needed in performance part of the work to avoid unnecessary double-testing.</w:t>
      </w:r>
    </w:p>
    <w:p w14:paraId="230017AE" w14:textId="5310DF67" w:rsidR="00B759A4" w:rsidRPr="00B759A4" w:rsidRDefault="00B759A4" w:rsidP="00D54817">
      <w:pPr>
        <w:rPr>
          <w:rFonts w:eastAsia="Batang"/>
          <w:b/>
          <w:bCs/>
          <w:lang w:eastAsia="ko-KR"/>
        </w:rPr>
      </w:pPr>
      <w:r w:rsidRPr="00B759A4">
        <w:rPr>
          <w:rFonts w:eastAsia="Batang"/>
          <w:b/>
          <w:bCs/>
          <w:lang w:eastAsia="ko-KR"/>
        </w:rPr>
        <w:t xml:space="preserve">Observation 1: </w:t>
      </w:r>
      <w:r>
        <w:rPr>
          <w:rFonts w:eastAsia="Batang"/>
          <w:b/>
          <w:bCs/>
          <w:lang w:eastAsia="ko-KR"/>
        </w:rPr>
        <w:t>When IAB-MT and IAB-DU requirements are very similar, careful consideration in needed in performance part of the work to avoid unnecessary double-testing.</w:t>
      </w:r>
    </w:p>
    <w:p w14:paraId="05311AFC" w14:textId="1C25FEA5" w:rsidR="00D54817" w:rsidRDefault="00D118E3" w:rsidP="00D54817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 xml:space="preserve">For in-band blocking the situation is a bit more complicated, as the differences between the deployment scenarios of Wide and Local Area IAB-MT have greater contribution to the requirement. </w:t>
      </w:r>
      <w:r w:rsidR="004A6EED">
        <w:rPr>
          <w:rFonts w:eastAsia="Batang"/>
          <w:lang w:eastAsia="ko-KR"/>
        </w:rPr>
        <w:t xml:space="preserve">The derivation of the </w:t>
      </w:r>
      <w:r>
        <w:rPr>
          <w:rFonts w:eastAsia="Batang"/>
          <w:lang w:eastAsia="ko-KR"/>
        </w:rPr>
        <w:t xml:space="preserve">in-band blocking </w:t>
      </w:r>
      <w:r w:rsidR="004A6EED">
        <w:rPr>
          <w:rFonts w:eastAsia="Batang"/>
          <w:lang w:eastAsia="ko-KR"/>
        </w:rPr>
        <w:t xml:space="preserve">requirement </w:t>
      </w:r>
      <w:r>
        <w:rPr>
          <w:rFonts w:eastAsia="Batang"/>
          <w:lang w:eastAsia="ko-KR"/>
        </w:rPr>
        <w:t xml:space="preserve">needs to </w:t>
      </w:r>
      <w:proofErr w:type="gramStart"/>
      <w:r>
        <w:rPr>
          <w:rFonts w:eastAsia="Batang"/>
          <w:lang w:eastAsia="ko-KR"/>
        </w:rPr>
        <w:t>take into account</w:t>
      </w:r>
      <w:proofErr w:type="gramEnd"/>
      <w:r>
        <w:rPr>
          <w:rFonts w:eastAsia="Batang"/>
          <w:lang w:eastAsia="ko-KR"/>
        </w:rPr>
        <w:t xml:space="preserve"> the 3GPP systems operating </w:t>
      </w:r>
      <w:r w:rsidR="004A6EED">
        <w:rPr>
          <w:rFonts w:eastAsia="Batang"/>
          <w:lang w:eastAsia="ko-KR"/>
        </w:rPr>
        <w:t xml:space="preserve">on the same band </w:t>
      </w:r>
      <w:r>
        <w:rPr>
          <w:rFonts w:eastAsia="Batang"/>
          <w:lang w:eastAsia="ko-KR"/>
        </w:rPr>
        <w:t>and the co-existence study results.</w:t>
      </w:r>
      <w:r w:rsidR="004A6EED">
        <w:rPr>
          <w:rFonts w:eastAsia="Batang"/>
          <w:lang w:eastAsia="ko-KR"/>
        </w:rPr>
        <w:t xml:space="preserve"> IAB-MT typically receives during DL timeslot, when the transmission in the air are CP-OFDM. Therefore, the realistic in-band interferer in the field is a CP-OFDM signal. </w:t>
      </w:r>
    </w:p>
    <w:p w14:paraId="370521C8" w14:textId="50CDC5DB" w:rsidR="004A6EED" w:rsidRPr="004A6EED" w:rsidRDefault="004A6EED" w:rsidP="00D54817">
      <w:pPr>
        <w:rPr>
          <w:rFonts w:eastAsia="Batang"/>
          <w:b/>
          <w:bCs/>
          <w:lang w:eastAsia="ko-KR"/>
        </w:rPr>
      </w:pPr>
      <w:r w:rsidRPr="004A6EED">
        <w:rPr>
          <w:rFonts w:eastAsia="Batang"/>
          <w:b/>
          <w:bCs/>
          <w:lang w:eastAsia="ko-KR"/>
        </w:rPr>
        <w:t xml:space="preserve">Observation 2: Practical in-band blocking interferer </w:t>
      </w:r>
      <w:r w:rsidR="00C028D7">
        <w:rPr>
          <w:rFonts w:eastAsia="Batang"/>
          <w:b/>
          <w:bCs/>
          <w:lang w:eastAsia="ko-KR"/>
        </w:rPr>
        <w:t xml:space="preserve">for IAB-MT </w:t>
      </w:r>
      <w:r w:rsidRPr="004A6EED">
        <w:rPr>
          <w:rFonts w:eastAsia="Batang"/>
          <w:b/>
          <w:bCs/>
          <w:lang w:eastAsia="ko-KR"/>
        </w:rPr>
        <w:t xml:space="preserve">in </w:t>
      </w:r>
      <w:r w:rsidR="00C028D7">
        <w:rPr>
          <w:rFonts w:eastAsia="Batang"/>
          <w:b/>
          <w:bCs/>
          <w:lang w:eastAsia="ko-KR"/>
        </w:rPr>
        <w:t xml:space="preserve">a </w:t>
      </w:r>
      <w:r w:rsidRPr="004A6EED">
        <w:rPr>
          <w:rFonts w:eastAsia="Batang"/>
          <w:b/>
          <w:bCs/>
          <w:lang w:eastAsia="ko-KR"/>
        </w:rPr>
        <w:t>real network is a CP-OFDM signal.</w:t>
      </w:r>
    </w:p>
    <w:p w14:paraId="27F44A98" w14:textId="57BC4E27" w:rsidR="005B58D3" w:rsidRDefault="004A6EED" w:rsidP="00D54817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t>Currently, BS in-band blocking requirement uses DFT-s-OFDM signal. The main difference between these two is different peak-to-average ratio of the waveform, i.e. the peak level of CP-OFDM waveform is significantly higher than that of DFT-s-OFDM waveform, in case the both have the same average power level.</w:t>
      </w:r>
      <w:r w:rsidR="00274D5B">
        <w:rPr>
          <w:rFonts w:eastAsia="Batang"/>
          <w:lang w:eastAsia="ko-KR"/>
        </w:rPr>
        <w:t xml:space="preserve"> As mentioned in [5] the co-existence study results indicate a need for increased blocking signal level to guarantee system performance, and while the increase in average blocker power level has not been acceptable, a good compromise would be to adopt CP-OFDM interferer signal, which makes the requirement more stringent compared to current BS requirements.</w:t>
      </w:r>
    </w:p>
    <w:p w14:paraId="28B20E2F" w14:textId="26801677" w:rsidR="00274D5B" w:rsidRPr="00274D5B" w:rsidRDefault="00274D5B" w:rsidP="00D54817">
      <w:pPr>
        <w:rPr>
          <w:rFonts w:eastAsia="Batang"/>
          <w:b/>
          <w:bCs/>
          <w:lang w:eastAsia="ko-KR"/>
        </w:rPr>
      </w:pPr>
      <w:r w:rsidRPr="00274D5B">
        <w:rPr>
          <w:rFonts w:eastAsia="Batang"/>
          <w:b/>
          <w:bCs/>
          <w:lang w:eastAsia="ko-KR"/>
        </w:rPr>
        <w:t>Proposal 2: CP-OFDM in-band interferer shall be used</w:t>
      </w:r>
      <w:r>
        <w:rPr>
          <w:rFonts w:eastAsia="Batang"/>
          <w:b/>
          <w:bCs/>
          <w:lang w:eastAsia="ko-KR"/>
        </w:rPr>
        <w:t xml:space="preserve"> for IAB-MT in-band blocking</w:t>
      </w:r>
      <w:r w:rsidRPr="00274D5B">
        <w:rPr>
          <w:rFonts w:eastAsia="Batang"/>
          <w:b/>
          <w:bCs/>
          <w:lang w:eastAsia="ko-KR"/>
        </w:rPr>
        <w:t>.</w:t>
      </w:r>
    </w:p>
    <w:p w14:paraId="61EB4EF3" w14:textId="2AE670B5" w:rsidR="004A6EED" w:rsidRDefault="00274D5B" w:rsidP="00D54817">
      <w:pPr>
        <w:rPr>
          <w:rFonts w:eastAsia="Batang"/>
          <w:lang w:eastAsia="ko-KR"/>
        </w:rPr>
      </w:pPr>
      <w:r>
        <w:rPr>
          <w:rFonts w:eastAsia="Batang"/>
          <w:lang w:eastAsia="ko-KR"/>
        </w:rPr>
        <w:lastRenderedPageBreak/>
        <w:t xml:space="preserve">When it comes to wanted signal level, the same argumentation applies here at least for Wide Area IAB-MTs as above for out-of-band blocker. </w:t>
      </w:r>
      <w:r w:rsidR="00C028D7">
        <w:rPr>
          <w:rFonts w:eastAsia="Batang"/>
          <w:lang w:eastAsia="ko-KR"/>
        </w:rPr>
        <w:t xml:space="preserve">It is not obvious that the same applies for </w:t>
      </w:r>
      <w:r>
        <w:rPr>
          <w:rFonts w:eastAsia="Batang"/>
          <w:lang w:eastAsia="ko-KR"/>
        </w:rPr>
        <w:t xml:space="preserve">Local Area </w:t>
      </w:r>
      <w:r w:rsidR="00C028D7">
        <w:rPr>
          <w:rFonts w:eastAsia="Batang"/>
          <w:lang w:eastAsia="ko-KR"/>
        </w:rPr>
        <w:t>IAB-MT, and it should be further discussed whether the same wanted signal power level can be applied also for Local Area IAB-MT.</w:t>
      </w:r>
    </w:p>
    <w:p w14:paraId="308EF149" w14:textId="594FC69D" w:rsidR="00E36667" w:rsidRPr="00C028D7" w:rsidRDefault="00C028D7" w:rsidP="00C028D7">
      <w:pPr>
        <w:rPr>
          <w:rFonts w:eastAsia="Batang"/>
          <w:b/>
          <w:bCs/>
          <w:lang w:eastAsia="ko-KR"/>
        </w:rPr>
      </w:pPr>
      <w:r w:rsidRPr="00C028D7">
        <w:rPr>
          <w:rFonts w:eastAsia="Batang"/>
          <w:b/>
          <w:bCs/>
          <w:lang w:eastAsia="ko-KR"/>
        </w:rPr>
        <w:t>Proposal 3: Re-use BS wanted and interfering signal power levels and interferer offsets for Wide Area IAB-MT.</w:t>
      </w:r>
      <w:bookmarkEnd w:id="2"/>
    </w:p>
    <w:p w14:paraId="52782008" w14:textId="524CB258" w:rsidR="00F32200" w:rsidRDefault="00F32200" w:rsidP="00F32200">
      <w:pPr>
        <w:pStyle w:val="Heading1"/>
      </w:pPr>
      <w:r>
        <w:t>3</w:t>
      </w:r>
      <w:r>
        <w:tab/>
        <w:t>Conclusion</w:t>
      </w:r>
    </w:p>
    <w:p w14:paraId="684B36C8" w14:textId="55DBFF3E" w:rsidR="00A83A3E" w:rsidRPr="007E346D" w:rsidRDefault="0056035D" w:rsidP="00A83A3E">
      <w:r>
        <w:t xml:space="preserve">In this contribution </w:t>
      </w:r>
      <w:r w:rsidR="002F6C06">
        <w:t>IAB-MT</w:t>
      </w:r>
      <w:r w:rsidR="00C028D7">
        <w:t xml:space="preserve"> blocking requirements were discussed. Following observation and proposals were done.</w:t>
      </w:r>
    </w:p>
    <w:p w14:paraId="7A1737B6" w14:textId="77777777" w:rsidR="00C028D7" w:rsidRPr="00B759A4" w:rsidRDefault="00C028D7" w:rsidP="00C028D7">
      <w:pPr>
        <w:rPr>
          <w:rFonts w:eastAsia="Batang"/>
          <w:b/>
          <w:bCs/>
          <w:lang w:eastAsia="ko-KR"/>
        </w:rPr>
      </w:pPr>
      <w:r w:rsidRPr="00B759A4">
        <w:rPr>
          <w:rFonts w:eastAsia="Batang"/>
          <w:b/>
          <w:bCs/>
          <w:lang w:eastAsia="ko-KR"/>
        </w:rPr>
        <w:t xml:space="preserve">Observation 1: </w:t>
      </w:r>
      <w:r>
        <w:rPr>
          <w:rFonts w:eastAsia="Batang"/>
          <w:b/>
          <w:bCs/>
          <w:lang w:eastAsia="ko-KR"/>
        </w:rPr>
        <w:t>When IAB-MT and IAB-DU requirements are very similar, careful consideration in needed in performance part of the work to avoid unnecessary double-testing.</w:t>
      </w:r>
    </w:p>
    <w:p w14:paraId="1960A35E" w14:textId="77777777" w:rsidR="00C028D7" w:rsidRPr="004A6EED" w:rsidRDefault="00C028D7" w:rsidP="00C028D7">
      <w:pPr>
        <w:rPr>
          <w:rFonts w:eastAsia="Batang"/>
          <w:b/>
          <w:bCs/>
          <w:lang w:eastAsia="ko-KR"/>
        </w:rPr>
      </w:pPr>
      <w:r w:rsidRPr="004A6EED">
        <w:rPr>
          <w:rFonts w:eastAsia="Batang"/>
          <w:b/>
          <w:bCs/>
          <w:lang w:eastAsia="ko-KR"/>
        </w:rPr>
        <w:t xml:space="preserve">Observation 2: Practical in-band blocking interferer </w:t>
      </w:r>
      <w:r>
        <w:rPr>
          <w:rFonts w:eastAsia="Batang"/>
          <w:b/>
          <w:bCs/>
          <w:lang w:eastAsia="ko-KR"/>
        </w:rPr>
        <w:t xml:space="preserve">for IAB-MT </w:t>
      </w:r>
      <w:r w:rsidRPr="004A6EED">
        <w:rPr>
          <w:rFonts w:eastAsia="Batang"/>
          <w:b/>
          <w:bCs/>
          <w:lang w:eastAsia="ko-KR"/>
        </w:rPr>
        <w:t xml:space="preserve">in </w:t>
      </w:r>
      <w:r>
        <w:rPr>
          <w:rFonts w:eastAsia="Batang"/>
          <w:b/>
          <w:bCs/>
          <w:lang w:eastAsia="ko-KR"/>
        </w:rPr>
        <w:t xml:space="preserve">a </w:t>
      </w:r>
      <w:r w:rsidRPr="004A6EED">
        <w:rPr>
          <w:rFonts w:eastAsia="Batang"/>
          <w:b/>
          <w:bCs/>
          <w:lang w:eastAsia="ko-KR"/>
        </w:rPr>
        <w:t>real network is a CP-OFDM signal.</w:t>
      </w:r>
    </w:p>
    <w:p w14:paraId="510C4A5D" w14:textId="77777777" w:rsidR="00C028D7" w:rsidRDefault="00C028D7" w:rsidP="00C028D7">
      <w:pPr>
        <w:rPr>
          <w:rFonts w:eastAsia="Batang"/>
          <w:b/>
          <w:bCs/>
          <w:lang w:eastAsia="ko-KR"/>
        </w:rPr>
      </w:pPr>
      <w:r w:rsidRPr="006E7E64">
        <w:rPr>
          <w:rFonts w:eastAsia="Batang"/>
          <w:b/>
          <w:bCs/>
          <w:lang w:eastAsia="ko-KR"/>
        </w:rPr>
        <w:t>Proposal 1:</w:t>
      </w:r>
      <w:r>
        <w:rPr>
          <w:rFonts w:eastAsia="Batang"/>
          <w:b/>
          <w:bCs/>
          <w:lang w:eastAsia="ko-KR"/>
        </w:rPr>
        <w:t xml:space="preserve"> Re-use BS type 2-O out-of-band blocking requirements, including wanted signal level, for IAB-MT in FR2.</w:t>
      </w:r>
    </w:p>
    <w:p w14:paraId="5C9A1141" w14:textId="77777777" w:rsidR="00C028D7" w:rsidRPr="00274D5B" w:rsidRDefault="00C028D7" w:rsidP="00C028D7">
      <w:pPr>
        <w:rPr>
          <w:rFonts w:eastAsia="Batang"/>
          <w:b/>
          <w:bCs/>
          <w:lang w:eastAsia="ko-KR"/>
        </w:rPr>
      </w:pPr>
      <w:r w:rsidRPr="00274D5B">
        <w:rPr>
          <w:rFonts w:eastAsia="Batang"/>
          <w:b/>
          <w:bCs/>
          <w:lang w:eastAsia="ko-KR"/>
        </w:rPr>
        <w:t>Proposal 2: CP-OFDM in-band interferer shall be used</w:t>
      </w:r>
      <w:r>
        <w:rPr>
          <w:rFonts w:eastAsia="Batang"/>
          <w:b/>
          <w:bCs/>
          <w:lang w:eastAsia="ko-KR"/>
        </w:rPr>
        <w:t xml:space="preserve"> for IAB-MT in-band blocking</w:t>
      </w:r>
      <w:r w:rsidRPr="00274D5B">
        <w:rPr>
          <w:rFonts w:eastAsia="Batang"/>
          <w:b/>
          <w:bCs/>
          <w:lang w:eastAsia="ko-KR"/>
        </w:rPr>
        <w:t>.</w:t>
      </w:r>
    </w:p>
    <w:p w14:paraId="4196D530" w14:textId="7BAF6D8E" w:rsidR="002F6C06" w:rsidRPr="00C028D7" w:rsidRDefault="00C028D7" w:rsidP="00D371FB">
      <w:pPr>
        <w:rPr>
          <w:rFonts w:eastAsia="Batang"/>
          <w:b/>
          <w:bCs/>
          <w:lang w:eastAsia="ko-KR"/>
        </w:rPr>
      </w:pPr>
      <w:r w:rsidRPr="00C028D7">
        <w:rPr>
          <w:rFonts w:eastAsia="Batang"/>
          <w:b/>
          <w:bCs/>
          <w:lang w:eastAsia="ko-KR"/>
        </w:rPr>
        <w:t>Proposal 3: Re-use BS wanted and interfering signal power levels and interferer offsets for Wide Area IAB-MT.</w:t>
      </w:r>
    </w:p>
    <w:p w14:paraId="55B204E9" w14:textId="77777777" w:rsidR="0057669F" w:rsidRDefault="0057669F" w:rsidP="0057669F">
      <w:pPr>
        <w:pStyle w:val="Heading1"/>
      </w:pPr>
      <w:r>
        <w:t>4</w:t>
      </w:r>
      <w:r>
        <w:tab/>
        <w:t>Reference</w:t>
      </w:r>
      <w:r w:rsidR="0035582C">
        <w:t>s</w:t>
      </w:r>
    </w:p>
    <w:p w14:paraId="1809FABE" w14:textId="0C9EBA8D" w:rsidR="00F47649" w:rsidRPr="00C14230" w:rsidRDefault="00F47649" w:rsidP="006C16B3">
      <w:pPr>
        <w:ind w:left="567" w:hanging="567"/>
      </w:pPr>
      <w:r>
        <w:t>[</w:t>
      </w:r>
      <w:r w:rsidR="00363800">
        <w:t>1</w:t>
      </w:r>
      <w:r>
        <w:t>]</w:t>
      </w:r>
      <w:r>
        <w:tab/>
        <w:t>R4-</w:t>
      </w:r>
      <w:r w:rsidR="00B675CB">
        <w:t>20024</w:t>
      </w:r>
      <w:r w:rsidR="005B58D3">
        <w:t>83</w:t>
      </w:r>
      <w:r w:rsidR="001779BE">
        <w:t xml:space="preserve"> </w:t>
      </w:r>
      <w:r w:rsidR="00B675CB">
        <w:t>WF on IAB</w:t>
      </w:r>
      <w:r w:rsidR="005B58D3">
        <w:t xml:space="preserve"> RX RF requirement</w:t>
      </w:r>
      <w:r w:rsidR="001779BE">
        <w:t xml:space="preserve">, </w:t>
      </w:r>
      <w:r w:rsidR="00B675CB">
        <w:t>Samsung</w:t>
      </w:r>
    </w:p>
    <w:p w14:paraId="09893C7A" w14:textId="0864E5B3" w:rsidR="001D6F67" w:rsidRDefault="00A269DA" w:rsidP="000450CB">
      <w:pPr>
        <w:ind w:left="567" w:hanging="567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RP-</w:t>
      </w:r>
      <w:r w:rsidR="005B58D3">
        <w:rPr>
          <w:lang w:val="en-US"/>
        </w:rPr>
        <w:t>2002491 WF on IAB-MT ACS and IBB in FR2</w:t>
      </w:r>
      <w:r w:rsidRPr="00A269DA">
        <w:rPr>
          <w:lang w:val="en-US"/>
        </w:rPr>
        <w:t>, Ericsson</w:t>
      </w:r>
    </w:p>
    <w:p w14:paraId="69B12522" w14:textId="4BEA892E" w:rsidR="005B58D3" w:rsidRDefault="005B58D3" w:rsidP="005B58D3">
      <w:pPr>
        <w:ind w:left="567" w:hanging="567"/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>
        <w:rPr>
          <w:lang w:val="en-US"/>
        </w:rPr>
        <w:tab/>
        <w:t>R4-2002494, WF on IAB MT class definition</w:t>
      </w:r>
      <w:r w:rsidRPr="007149F9">
        <w:rPr>
          <w:lang w:val="en-US"/>
        </w:rPr>
        <w:t xml:space="preserve">, </w:t>
      </w:r>
      <w:r>
        <w:rPr>
          <w:lang w:val="en-US"/>
        </w:rPr>
        <w:t>Samsung</w:t>
      </w:r>
    </w:p>
    <w:p w14:paraId="524A09F8" w14:textId="2700C6F3" w:rsidR="007149F9" w:rsidRDefault="007149F9" w:rsidP="007149F9">
      <w:pPr>
        <w:ind w:left="567" w:hanging="567"/>
        <w:rPr>
          <w:lang w:val="en-US"/>
        </w:rPr>
      </w:pPr>
      <w:r>
        <w:rPr>
          <w:lang w:val="en-US"/>
        </w:rPr>
        <w:t>[</w:t>
      </w:r>
      <w:r w:rsidR="005B58D3">
        <w:rPr>
          <w:lang w:val="en-US"/>
        </w:rPr>
        <w:t>4</w:t>
      </w:r>
      <w:r>
        <w:rPr>
          <w:lang w:val="en-US"/>
        </w:rPr>
        <w:t>]</w:t>
      </w:r>
      <w:r>
        <w:rPr>
          <w:lang w:val="en-US"/>
        </w:rPr>
        <w:tab/>
      </w:r>
      <w:r w:rsidRPr="0037674F">
        <w:rPr>
          <w:lang w:val="en-US"/>
        </w:rPr>
        <w:t>R4-200</w:t>
      </w:r>
      <w:r w:rsidR="0037674F" w:rsidRPr="0037674F">
        <w:rPr>
          <w:lang w:val="en-US"/>
        </w:rPr>
        <w:t>3774</w:t>
      </w:r>
      <w:r>
        <w:rPr>
          <w:lang w:val="en-US"/>
        </w:rPr>
        <w:t xml:space="preserve"> </w:t>
      </w:r>
      <w:r w:rsidR="005B58D3">
        <w:rPr>
          <w:lang w:val="en-US"/>
        </w:rPr>
        <w:t>IAB-MT classification and related output power requirements</w:t>
      </w:r>
      <w:r>
        <w:rPr>
          <w:lang w:val="en-US"/>
        </w:rPr>
        <w:t>, Nokia, Nokia Shanghai Bell</w:t>
      </w:r>
    </w:p>
    <w:p w14:paraId="5CE19DDF" w14:textId="33AEBCD5" w:rsidR="00115068" w:rsidRPr="00274D5B" w:rsidRDefault="00274D5B" w:rsidP="00274D5B">
      <w:pPr>
        <w:ind w:left="567" w:hanging="567"/>
        <w:rPr>
          <w:lang w:val="en-US"/>
        </w:rPr>
      </w:pPr>
      <w:r w:rsidRPr="00274D5B">
        <w:rPr>
          <w:lang w:val="en-US"/>
        </w:rPr>
        <w:t xml:space="preserve">[5] </w:t>
      </w:r>
      <w:r>
        <w:rPr>
          <w:lang w:val="en-US"/>
        </w:rPr>
        <w:tab/>
      </w:r>
      <w:r w:rsidRPr="00274D5B">
        <w:rPr>
          <w:lang w:val="en-US"/>
        </w:rPr>
        <w:t>R4-2001432 TP to TR 38.xxx IAB-Node blocking, power class and coexistence requirements in FR2, Nokia, Nokia Shanghai Bell</w:t>
      </w:r>
      <w:bookmarkStart w:id="3" w:name="_GoBack"/>
      <w:bookmarkEnd w:id="3"/>
    </w:p>
    <w:sectPr w:rsidR="00115068" w:rsidRPr="00274D5B" w:rsidSect="00F322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709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533BF" w14:textId="77777777" w:rsidR="00137889" w:rsidRDefault="00137889" w:rsidP="002B3503">
      <w:pPr>
        <w:spacing w:after="0"/>
      </w:pPr>
      <w:r>
        <w:separator/>
      </w:r>
    </w:p>
  </w:endnote>
  <w:endnote w:type="continuationSeparator" w:id="0">
    <w:p w14:paraId="6D6AE015" w14:textId="77777777" w:rsidR="00137889" w:rsidRDefault="0013788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41A9F" w14:textId="77777777" w:rsidR="006A21E1" w:rsidRDefault="006A21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C594D" w14:textId="77777777" w:rsidR="006A21E1" w:rsidRDefault="006A21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897A5" w14:textId="77777777" w:rsidR="006A21E1" w:rsidRDefault="006A21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E12A1" w14:textId="77777777" w:rsidR="00137889" w:rsidRDefault="00137889" w:rsidP="002B3503">
      <w:pPr>
        <w:spacing w:after="0"/>
      </w:pPr>
      <w:r>
        <w:separator/>
      </w:r>
    </w:p>
  </w:footnote>
  <w:footnote w:type="continuationSeparator" w:id="0">
    <w:p w14:paraId="1F8931C5" w14:textId="77777777" w:rsidR="00137889" w:rsidRDefault="0013788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C110D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87148" w14:textId="77777777" w:rsidR="006A21E1" w:rsidRDefault="006A2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DBF74" w14:textId="77777777" w:rsidR="006A21E1" w:rsidRDefault="006A2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2D28"/>
    <w:multiLevelType w:val="hybridMultilevel"/>
    <w:tmpl w:val="323815B4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24C72"/>
    <w:multiLevelType w:val="hybridMultilevel"/>
    <w:tmpl w:val="C68C93FC"/>
    <w:lvl w:ilvl="0" w:tplc="7C22815A">
      <w:start w:val="3"/>
      <w:numFmt w:val="bullet"/>
      <w:lvlText w:val=""/>
      <w:lvlJc w:val="left"/>
      <w:pPr>
        <w:ind w:left="172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2" w15:restartNumberingAfterBreak="0">
    <w:nsid w:val="1C911376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C36C1"/>
    <w:multiLevelType w:val="hybridMultilevel"/>
    <w:tmpl w:val="E0E8A502"/>
    <w:lvl w:ilvl="0" w:tplc="22EE7B1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E457A"/>
    <w:multiLevelType w:val="hybridMultilevel"/>
    <w:tmpl w:val="3440D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FF37F8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B14516"/>
    <w:multiLevelType w:val="hybridMultilevel"/>
    <w:tmpl w:val="19729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E7CDD"/>
    <w:multiLevelType w:val="hybridMultilevel"/>
    <w:tmpl w:val="6AA46E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A947D1"/>
    <w:multiLevelType w:val="hybridMultilevel"/>
    <w:tmpl w:val="3D60F1D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79"/>
        </w:tabs>
        <w:ind w:left="167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721446"/>
    <w:multiLevelType w:val="hybridMultilevel"/>
    <w:tmpl w:val="CF8CC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8050B6"/>
    <w:multiLevelType w:val="hybridMultilevel"/>
    <w:tmpl w:val="25C2F51E"/>
    <w:lvl w:ilvl="0" w:tplc="040B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6"/>
  </w:num>
  <w:num w:numId="4">
    <w:abstractNumId w:val="10"/>
  </w:num>
  <w:num w:numId="5">
    <w:abstractNumId w:val="12"/>
  </w:num>
  <w:num w:numId="6">
    <w:abstractNumId w:val="13"/>
  </w:num>
  <w:num w:numId="7">
    <w:abstractNumId w:val="5"/>
  </w:num>
  <w:num w:numId="8">
    <w:abstractNumId w:val="2"/>
  </w:num>
  <w:num w:numId="9">
    <w:abstractNumId w:val="0"/>
  </w:num>
  <w:num w:numId="10">
    <w:abstractNumId w:val="7"/>
  </w:num>
  <w:num w:numId="11">
    <w:abstractNumId w:val="15"/>
  </w:num>
  <w:num w:numId="12">
    <w:abstractNumId w:val="1"/>
  </w:num>
  <w:num w:numId="13">
    <w:abstractNumId w:val="4"/>
  </w:num>
  <w:num w:numId="14">
    <w:abstractNumId w:val="9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C2D"/>
    <w:rsid w:val="0000488B"/>
    <w:rsid w:val="00013683"/>
    <w:rsid w:val="000138E1"/>
    <w:rsid w:val="000146D1"/>
    <w:rsid w:val="0001566F"/>
    <w:rsid w:val="00016F62"/>
    <w:rsid w:val="00017F18"/>
    <w:rsid w:val="000450CB"/>
    <w:rsid w:val="00046F81"/>
    <w:rsid w:val="00051A7D"/>
    <w:rsid w:val="000832DA"/>
    <w:rsid w:val="00091F0B"/>
    <w:rsid w:val="000943A9"/>
    <w:rsid w:val="000A4A61"/>
    <w:rsid w:val="000A5C0F"/>
    <w:rsid w:val="000A6473"/>
    <w:rsid w:val="000A7F46"/>
    <w:rsid w:val="000B4E56"/>
    <w:rsid w:val="000B5E8E"/>
    <w:rsid w:val="000C07E1"/>
    <w:rsid w:val="000D0627"/>
    <w:rsid w:val="000D5C67"/>
    <w:rsid w:val="000D6C3A"/>
    <w:rsid w:val="000E1116"/>
    <w:rsid w:val="000E18EC"/>
    <w:rsid w:val="000E41E5"/>
    <w:rsid w:val="000F2546"/>
    <w:rsid w:val="00101626"/>
    <w:rsid w:val="00101848"/>
    <w:rsid w:val="00113312"/>
    <w:rsid w:val="00115068"/>
    <w:rsid w:val="00130ACE"/>
    <w:rsid w:val="00131F06"/>
    <w:rsid w:val="00132FF9"/>
    <w:rsid w:val="001364A1"/>
    <w:rsid w:val="00137889"/>
    <w:rsid w:val="0015000E"/>
    <w:rsid w:val="00155F2D"/>
    <w:rsid w:val="0016131F"/>
    <w:rsid w:val="00162795"/>
    <w:rsid w:val="00164A53"/>
    <w:rsid w:val="00165E68"/>
    <w:rsid w:val="001678D9"/>
    <w:rsid w:val="001779BE"/>
    <w:rsid w:val="0018022D"/>
    <w:rsid w:val="001B180D"/>
    <w:rsid w:val="001B46BB"/>
    <w:rsid w:val="001B494A"/>
    <w:rsid w:val="001C3296"/>
    <w:rsid w:val="001D4627"/>
    <w:rsid w:val="001D6F67"/>
    <w:rsid w:val="001E542E"/>
    <w:rsid w:val="00205BA4"/>
    <w:rsid w:val="00210C9E"/>
    <w:rsid w:val="002127E2"/>
    <w:rsid w:val="00213D17"/>
    <w:rsid w:val="00214C87"/>
    <w:rsid w:val="00215035"/>
    <w:rsid w:val="002202BE"/>
    <w:rsid w:val="00222ADE"/>
    <w:rsid w:val="00230B20"/>
    <w:rsid w:val="0023444F"/>
    <w:rsid w:val="00236867"/>
    <w:rsid w:val="00237779"/>
    <w:rsid w:val="00237803"/>
    <w:rsid w:val="00263B3D"/>
    <w:rsid w:val="002640C9"/>
    <w:rsid w:val="00264D5C"/>
    <w:rsid w:val="00264F78"/>
    <w:rsid w:val="002725A3"/>
    <w:rsid w:val="00274D5B"/>
    <w:rsid w:val="00277EE7"/>
    <w:rsid w:val="00281158"/>
    <w:rsid w:val="00285189"/>
    <w:rsid w:val="00285EBA"/>
    <w:rsid w:val="00291DDD"/>
    <w:rsid w:val="002A7160"/>
    <w:rsid w:val="002A7181"/>
    <w:rsid w:val="002B3503"/>
    <w:rsid w:val="002B3F6F"/>
    <w:rsid w:val="002C1641"/>
    <w:rsid w:val="002C1C70"/>
    <w:rsid w:val="002D2721"/>
    <w:rsid w:val="002D6A65"/>
    <w:rsid w:val="002F0018"/>
    <w:rsid w:val="002F139F"/>
    <w:rsid w:val="002F6A38"/>
    <w:rsid w:val="002F6C06"/>
    <w:rsid w:val="00311ABA"/>
    <w:rsid w:val="003174F7"/>
    <w:rsid w:val="00317C62"/>
    <w:rsid w:val="00331CE4"/>
    <w:rsid w:val="00342D3D"/>
    <w:rsid w:val="00347DEA"/>
    <w:rsid w:val="00350DA9"/>
    <w:rsid w:val="00351332"/>
    <w:rsid w:val="0035582C"/>
    <w:rsid w:val="003613B8"/>
    <w:rsid w:val="00363074"/>
    <w:rsid w:val="00363800"/>
    <w:rsid w:val="00371259"/>
    <w:rsid w:val="00376110"/>
    <w:rsid w:val="0037674F"/>
    <w:rsid w:val="003777FE"/>
    <w:rsid w:val="003879A9"/>
    <w:rsid w:val="0039353D"/>
    <w:rsid w:val="003A1BF2"/>
    <w:rsid w:val="003B5BFF"/>
    <w:rsid w:val="003C3016"/>
    <w:rsid w:val="003D3111"/>
    <w:rsid w:val="003D5813"/>
    <w:rsid w:val="003E36C3"/>
    <w:rsid w:val="003F0CBC"/>
    <w:rsid w:val="003F1982"/>
    <w:rsid w:val="004035FC"/>
    <w:rsid w:val="00404C40"/>
    <w:rsid w:val="00405E3D"/>
    <w:rsid w:val="00420E2F"/>
    <w:rsid w:val="0042109F"/>
    <w:rsid w:val="00427F57"/>
    <w:rsid w:val="0043450E"/>
    <w:rsid w:val="00447C2E"/>
    <w:rsid w:val="0045082D"/>
    <w:rsid w:val="004533DE"/>
    <w:rsid w:val="00453BA5"/>
    <w:rsid w:val="00454E53"/>
    <w:rsid w:val="004754A1"/>
    <w:rsid w:val="00482477"/>
    <w:rsid w:val="00482BAF"/>
    <w:rsid w:val="00484762"/>
    <w:rsid w:val="00491386"/>
    <w:rsid w:val="00494F18"/>
    <w:rsid w:val="00495483"/>
    <w:rsid w:val="00496414"/>
    <w:rsid w:val="004A41DA"/>
    <w:rsid w:val="004A47DD"/>
    <w:rsid w:val="004A51BA"/>
    <w:rsid w:val="004A6EED"/>
    <w:rsid w:val="004C0103"/>
    <w:rsid w:val="004C4473"/>
    <w:rsid w:val="004C58F9"/>
    <w:rsid w:val="004D0C67"/>
    <w:rsid w:val="004D36A5"/>
    <w:rsid w:val="004D3D81"/>
    <w:rsid w:val="004D4354"/>
    <w:rsid w:val="005001B2"/>
    <w:rsid w:val="00507108"/>
    <w:rsid w:val="00512C65"/>
    <w:rsid w:val="00522412"/>
    <w:rsid w:val="00527349"/>
    <w:rsid w:val="00527B86"/>
    <w:rsid w:val="00527D3E"/>
    <w:rsid w:val="005304C6"/>
    <w:rsid w:val="00530929"/>
    <w:rsid w:val="00537362"/>
    <w:rsid w:val="00541E71"/>
    <w:rsid w:val="00542EA4"/>
    <w:rsid w:val="00544A0E"/>
    <w:rsid w:val="00544EA7"/>
    <w:rsid w:val="005472C5"/>
    <w:rsid w:val="00551BD8"/>
    <w:rsid w:val="0056035D"/>
    <w:rsid w:val="00560A63"/>
    <w:rsid w:val="00561673"/>
    <w:rsid w:val="00564B2E"/>
    <w:rsid w:val="00566191"/>
    <w:rsid w:val="00570B14"/>
    <w:rsid w:val="005765EE"/>
    <w:rsid w:val="0057669F"/>
    <w:rsid w:val="005A08FD"/>
    <w:rsid w:val="005A3D67"/>
    <w:rsid w:val="005A5924"/>
    <w:rsid w:val="005B2640"/>
    <w:rsid w:val="005B58D3"/>
    <w:rsid w:val="005C2EB7"/>
    <w:rsid w:val="005C3C47"/>
    <w:rsid w:val="005D0E70"/>
    <w:rsid w:val="005D0FDB"/>
    <w:rsid w:val="005D7B06"/>
    <w:rsid w:val="005E49A2"/>
    <w:rsid w:val="005F1F1C"/>
    <w:rsid w:val="005F6CE3"/>
    <w:rsid w:val="00602EB6"/>
    <w:rsid w:val="0060382B"/>
    <w:rsid w:val="006168C2"/>
    <w:rsid w:val="006235B4"/>
    <w:rsid w:val="00630341"/>
    <w:rsid w:val="00641C2E"/>
    <w:rsid w:val="00654B03"/>
    <w:rsid w:val="00662E0D"/>
    <w:rsid w:val="00663E30"/>
    <w:rsid w:val="00666120"/>
    <w:rsid w:val="00673969"/>
    <w:rsid w:val="006750A5"/>
    <w:rsid w:val="00680997"/>
    <w:rsid w:val="00692D32"/>
    <w:rsid w:val="00695026"/>
    <w:rsid w:val="006A21E1"/>
    <w:rsid w:val="006A6876"/>
    <w:rsid w:val="006B720B"/>
    <w:rsid w:val="006C16B3"/>
    <w:rsid w:val="006C6840"/>
    <w:rsid w:val="006C7482"/>
    <w:rsid w:val="006E3462"/>
    <w:rsid w:val="006E7E64"/>
    <w:rsid w:val="006F1B82"/>
    <w:rsid w:val="006F651D"/>
    <w:rsid w:val="00701131"/>
    <w:rsid w:val="0070573A"/>
    <w:rsid w:val="00710301"/>
    <w:rsid w:val="007120DD"/>
    <w:rsid w:val="007149F9"/>
    <w:rsid w:val="00720AFB"/>
    <w:rsid w:val="00721417"/>
    <w:rsid w:val="00722ED4"/>
    <w:rsid w:val="00724CD9"/>
    <w:rsid w:val="00726265"/>
    <w:rsid w:val="00734EBD"/>
    <w:rsid w:val="0073601D"/>
    <w:rsid w:val="00742892"/>
    <w:rsid w:val="00747246"/>
    <w:rsid w:val="00753982"/>
    <w:rsid w:val="00763E62"/>
    <w:rsid w:val="00770296"/>
    <w:rsid w:val="00782875"/>
    <w:rsid w:val="007A09DC"/>
    <w:rsid w:val="007A12F4"/>
    <w:rsid w:val="007A23DA"/>
    <w:rsid w:val="007C0429"/>
    <w:rsid w:val="007D20DF"/>
    <w:rsid w:val="007E79BE"/>
    <w:rsid w:val="007F7547"/>
    <w:rsid w:val="00801CCB"/>
    <w:rsid w:val="008236E4"/>
    <w:rsid w:val="0084176E"/>
    <w:rsid w:val="00845E2E"/>
    <w:rsid w:val="00847F20"/>
    <w:rsid w:val="00850296"/>
    <w:rsid w:val="00853EC3"/>
    <w:rsid w:val="00866BF1"/>
    <w:rsid w:val="00870635"/>
    <w:rsid w:val="00874DB0"/>
    <w:rsid w:val="008771F4"/>
    <w:rsid w:val="008911BD"/>
    <w:rsid w:val="008922F9"/>
    <w:rsid w:val="00895ABC"/>
    <w:rsid w:val="0089736D"/>
    <w:rsid w:val="0089773D"/>
    <w:rsid w:val="008A43C6"/>
    <w:rsid w:val="008A4493"/>
    <w:rsid w:val="008A5AE8"/>
    <w:rsid w:val="008B5F74"/>
    <w:rsid w:val="008D39F0"/>
    <w:rsid w:val="008D6E47"/>
    <w:rsid w:val="008F311C"/>
    <w:rsid w:val="008F463D"/>
    <w:rsid w:val="008F530E"/>
    <w:rsid w:val="009050E8"/>
    <w:rsid w:val="00906259"/>
    <w:rsid w:val="0091338C"/>
    <w:rsid w:val="0091383D"/>
    <w:rsid w:val="00932D74"/>
    <w:rsid w:val="009351C4"/>
    <w:rsid w:val="00937974"/>
    <w:rsid w:val="00940559"/>
    <w:rsid w:val="00943634"/>
    <w:rsid w:val="0096038C"/>
    <w:rsid w:val="009662F1"/>
    <w:rsid w:val="009674D4"/>
    <w:rsid w:val="00977A17"/>
    <w:rsid w:val="00982464"/>
    <w:rsid w:val="00983C8F"/>
    <w:rsid w:val="0098619A"/>
    <w:rsid w:val="00996062"/>
    <w:rsid w:val="009A3979"/>
    <w:rsid w:val="009A6A8B"/>
    <w:rsid w:val="009A70AA"/>
    <w:rsid w:val="009B1E68"/>
    <w:rsid w:val="009B7379"/>
    <w:rsid w:val="009E3B23"/>
    <w:rsid w:val="00A067D5"/>
    <w:rsid w:val="00A10A2C"/>
    <w:rsid w:val="00A10B1E"/>
    <w:rsid w:val="00A14642"/>
    <w:rsid w:val="00A15DC7"/>
    <w:rsid w:val="00A15FBF"/>
    <w:rsid w:val="00A2395F"/>
    <w:rsid w:val="00A269DA"/>
    <w:rsid w:val="00A30758"/>
    <w:rsid w:val="00A30C91"/>
    <w:rsid w:val="00A35998"/>
    <w:rsid w:val="00A451E8"/>
    <w:rsid w:val="00A466BF"/>
    <w:rsid w:val="00A47C8B"/>
    <w:rsid w:val="00A508FF"/>
    <w:rsid w:val="00A52A3B"/>
    <w:rsid w:val="00A52B69"/>
    <w:rsid w:val="00A6018C"/>
    <w:rsid w:val="00A64564"/>
    <w:rsid w:val="00A64DE7"/>
    <w:rsid w:val="00A708BD"/>
    <w:rsid w:val="00A8390A"/>
    <w:rsid w:val="00A83A3E"/>
    <w:rsid w:val="00A96A12"/>
    <w:rsid w:val="00A97C2D"/>
    <w:rsid w:val="00AB5402"/>
    <w:rsid w:val="00AC6D7C"/>
    <w:rsid w:val="00AD0C29"/>
    <w:rsid w:val="00AD15D4"/>
    <w:rsid w:val="00AD55F1"/>
    <w:rsid w:val="00AD71AD"/>
    <w:rsid w:val="00AE6327"/>
    <w:rsid w:val="00AF14A0"/>
    <w:rsid w:val="00B05B2F"/>
    <w:rsid w:val="00B1541B"/>
    <w:rsid w:val="00B1706D"/>
    <w:rsid w:val="00B172CC"/>
    <w:rsid w:val="00B31BAE"/>
    <w:rsid w:val="00B4385F"/>
    <w:rsid w:val="00B638DE"/>
    <w:rsid w:val="00B6504C"/>
    <w:rsid w:val="00B65B59"/>
    <w:rsid w:val="00B675CB"/>
    <w:rsid w:val="00B759A4"/>
    <w:rsid w:val="00BA3DB3"/>
    <w:rsid w:val="00BB523E"/>
    <w:rsid w:val="00BC764C"/>
    <w:rsid w:val="00BD0FF7"/>
    <w:rsid w:val="00BD3170"/>
    <w:rsid w:val="00BE140C"/>
    <w:rsid w:val="00BE1BA0"/>
    <w:rsid w:val="00BE5FB6"/>
    <w:rsid w:val="00BF4B17"/>
    <w:rsid w:val="00C028D7"/>
    <w:rsid w:val="00C14230"/>
    <w:rsid w:val="00C21554"/>
    <w:rsid w:val="00C24C90"/>
    <w:rsid w:val="00C24D31"/>
    <w:rsid w:val="00C33434"/>
    <w:rsid w:val="00C55B96"/>
    <w:rsid w:val="00C57BDA"/>
    <w:rsid w:val="00C6627F"/>
    <w:rsid w:val="00C944DE"/>
    <w:rsid w:val="00CA5455"/>
    <w:rsid w:val="00CB1708"/>
    <w:rsid w:val="00CB69B3"/>
    <w:rsid w:val="00CB7240"/>
    <w:rsid w:val="00CB768E"/>
    <w:rsid w:val="00CC3529"/>
    <w:rsid w:val="00CD4FAF"/>
    <w:rsid w:val="00CE0C6F"/>
    <w:rsid w:val="00CE6171"/>
    <w:rsid w:val="00CF183D"/>
    <w:rsid w:val="00CF249F"/>
    <w:rsid w:val="00CF4657"/>
    <w:rsid w:val="00CF5190"/>
    <w:rsid w:val="00D118E3"/>
    <w:rsid w:val="00D16EA7"/>
    <w:rsid w:val="00D23C06"/>
    <w:rsid w:val="00D26459"/>
    <w:rsid w:val="00D275CC"/>
    <w:rsid w:val="00D309FF"/>
    <w:rsid w:val="00D324A8"/>
    <w:rsid w:val="00D355D3"/>
    <w:rsid w:val="00D371FB"/>
    <w:rsid w:val="00D41CE0"/>
    <w:rsid w:val="00D54817"/>
    <w:rsid w:val="00D54EAA"/>
    <w:rsid w:val="00D5669A"/>
    <w:rsid w:val="00D60812"/>
    <w:rsid w:val="00D62DCA"/>
    <w:rsid w:val="00D64BFF"/>
    <w:rsid w:val="00D767C4"/>
    <w:rsid w:val="00D77CF5"/>
    <w:rsid w:val="00D81CF3"/>
    <w:rsid w:val="00D83D0F"/>
    <w:rsid w:val="00D848CC"/>
    <w:rsid w:val="00D8686A"/>
    <w:rsid w:val="00D86BF8"/>
    <w:rsid w:val="00D903D5"/>
    <w:rsid w:val="00D93CF9"/>
    <w:rsid w:val="00D944B1"/>
    <w:rsid w:val="00D95179"/>
    <w:rsid w:val="00DA21EC"/>
    <w:rsid w:val="00DB3EC2"/>
    <w:rsid w:val="00DB5AD3"/>
    <w:rsid w:val="00DB78B8"/>
    <w:rsid w:val="00DC7584"/>
    <w:rsid w:val="00DD43B9"/>
    <w:rsid w:val="00DD4BA1"/>
    <w:rsid w:val="00DD6BAA"/>
    <w:rsid w:val="00DF018A"/>
    <w:rsid w:val="00DF0C0A"/>
    <w:rsid w:val="00DF16F5"/>
    <w:rsid w:val="00DF7627"/>
    <w:rsid w:val="00E00F64"/>
    <w:rsid w:val="00E010A0"/>
    <w:rsid w:val="00E01EBB"/>
    <w:rsid w:val="00E02AD5"/>
    <w:rsid w:val="00E11B6F"/>
    <w:rsid w:val="00E13DFA"/>
    <w:rsid w:val="00E21F51"/>
    <w:rsid w:val="00E2604B"/>
    <w:rsid w:val="00E3148E"/>
    <w:rsid w:val="00E32CD3"/>
    <w:rsid w:val="00E33B68"/>
    <w:rsid w:val="00E36667"/>
    <w:rsid w:val="00E46CA7"/>
    <w:rsid w:val="00E5616A"/>
    <w:rsid w:val="00E56A42"/>
    <w:rsid w:val="00E62063"/>
    <w:rsid w:val="00E62B4E"/>
    <w:rsid w:val="00E90BCB"/>
    <w:rsid w:val="00E962C5"/>
    <w:rsid w:val="00EA3488"/>
    <w:rsid w:val="00EB5F7D"/>
    <w:rsid w:val="00EC589F"/>
    <w:rsid w:val="00EF103D"/>
    <w:rsid w:val="00EF4045"/>
    <w:rsid w:val="00EF6304"/>
    <w:rsid w:val="00F03666"/>
    <w:rsid w:val="00F07FB1"/>
    <w:rsid w:val="00F173C9"/>
    <w:rsid w:val="00F21216"/>
    <w:rsid w:val="00F26C2D"/>
    <w:rsid w:val="00F32200"/>
    <w:rsid w:val="00F374CF"/>
    <w:rsid w:val="00F40AF9"/>
    <w:rsid w:val="00F47649"/>
    <w:rsid w:val="00F51367"/>
    <w:rsid w:val="00F55BB5"/>
    <w:rsid w:val="00F65437"/>
    <w:rsid w:val="00F67501"/>
    <w:rsid w:val="00F8280F"/>
    <w:rsid w:val="00F82A23"/>
    <w:rsid w:val="00F832DE"/>
    <w:rsid w:val="00F855E2"/>
    <w:rsid w:val="00F95D75"/>
    <w:rsid w:val="00F96BF4"/>
    <w:rsid w:val="00F974FD"/>
    <w:rsid w:val="00F97D64"/>
    <w:rsid w:val="00FA111D"/>
    <w:rsid w:val="00FA2A7B"/>
    <w:rsid w:val="00FA66CB"/>
    <w:rsid w:val="00FB4E75"/>
    <w:rsid w:val="00FB7D23"/>
    <w:rsid w:val="00FC75E4"/>
    <w:rsid w:val="00FC7CFA"/>
    <w:rsid w:val="00FD085A"/>
    <w:rsid w:val="00FD543C"/>
    <w:rsid w:val="00FE3848"/>
    <w:rsid w:val="00FF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8E3408D"/>
  <w15:chartTrackingRefBased/>
  <w15:docId w15:val="{CF04BEE3-8016-42D4-9376-A502F4B35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F01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F01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F01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01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01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01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018A"/>
    <w:pPr>
      <w:outlineLvl w:val="5"/>
    </w:pPr>
  </w:style>
  <w:style w:type="paragraph" w:styleId="Heading7">
    <w:name w:val="heading 7"/>
    <w:basedOn w:val="H6"/>
    <w:next w:val="Normal"/>
    <w:qFormat/>
    <w:rsid w:val="00DF018A"/>
    <w:pPr>
      <w:outlineLvl w:val="6"/>
    </w:pPr>
  </w:style>
  <w:style w:type="paragraph" w:styleId="Heading8">
    <w:name w:val="heading 8"/>
    <w:basedOn w:val="Heading1"/>
    <w:next w:val="Normal"/>
    <w:qFormat/>
    <w:rsid w:val="00DF01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01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F018A"/>
    <w:pPr>
      <w:spacing w:before="180"/>
      <w:ind w:left="2693" w:hanging="2693"/>
    </w:pPr>
    <w:rPr>
      <w:b/>
    </w:rPr>
  </w:style>
  <w:style w:type="paragraph" w:styleId="TOC1">
    <w:name w:val="toc 1"/>
    <w:semiHidden/>
    <w:rsid w:val="00DF01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F01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F018A"/>
    <w:pPr>
      <w:ind w:left="1701" w:hanging="1701"/>
    </w:pPr>
  </w:style>
  <w:style w:type="paragraph" w:styleId="TOC4">
    <w:name w:val="toc 4"/>
    <w:basedOn w:val="TOC3"/>
    <w:semiHidden/>
    <w:rsid w:val="00DF018A"/>
    <w:pPr>
      <w:ind w:left="1418" w:hanging="1418"/>
    </w:pPr>
  </w:style>
  <w:style w:type="paragraph" w:styleId="TOC3">
    <w:name w:val="toc 3"/>
    <w:basedOn w:val="TOC2"/>
    <w:semiHidden/>
    <w:rsid w:val="00DF018A"/>
    <w:pPr>
      <w:ind w:left="1134" w:hanging="1134"/>
    </w:pPr>
  </w:style>
  <w:style w:type="paragraph" w:styleId="TOC2">
    <w:name w:val="toc 2"/>
    <w:basedOn w:val="TOC1"/>
    <w:semiHidden/>
    <w:rsid w:val="00DF01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018A"/>
    <w:pPr>
      <w:ind w:left="284"/>
    </w:pPr>
  </w:style>
  <w:style w:type="paragraph" w:styleId="Index1">
    <w:name w:val="index 1"/>
    <w:basedOn w:val="Normal"/>
    <w:semiHidden/>
    <w:rsid w:val="00DF018A"/>
    <w:pPr>
      <w:keepLines/>
      <w:spacing w:after="0"/>
    </w:pPr>
  </w:style>
  <w:style w:type="paragraph" w:customStyle="1" w:styleId="ZH">
    <w:name w:val="ZH"/>
    <w:rsid w:val="00DF01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F018A"/>
    <w:pPr>
      <w:outlineLvl w:val="9"/>
    </w:pPr>
  </w:style>
  <w:style w:type="paragraph" w:styleId="ListNumber2">
    <w:name w:val="List Number 2"/>
    <w:basedOn w:val="ListNumber"/>
    <w:semiHidden/>
    <w:rsid w:val="00DF01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F01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F018A"/>
    <w:rPr>
      <w:b/>
      <w:position w:val="6"/>
      <w:sz w:val="16"/>
    </w:rPr>
  </w:style>
  <w:style w:type="paragraph" w:styleId="FootnoteText">
    <w:name w:val="footnote text"/>
    <w:basedOn w:val="Normal"/>
    <w:semiHidden/>
    <w:rsid w:val="00DF018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DF018A"/>
    <w:rPr>
      <w:b/>
    </w:rPr>
  </w:style>
  <w:style w:type="paragraph" w:customStyle="1" w:styleId="TAC">
    <w:name w:val="TAC"/>
    <w:basedOn w:val="TAL"/>
    <w:link w:val="TACChar"/>
    <w:qFormat/>
    <w:rsid w:val="00DF018A"/>
    <w:pPr>
      <w:jc w:val="center"/>
    </w:pPr>
  </w:style>
  <w:style w:type="paragraph" w:customStyle="1" w:styleId="TF">
    <w:name w:val="TF"/>
    <w:basedOn w:val="TH"/>
    <w:rsid w:val="00DF018A"/>
    <w:pPr>
      <w:keepNext w:val="0"/>
      <w:spacing w:before="0" w:after="240"/>
    </w:pPr>
  </w:style>
  <w:style w:type="paragraph" w:customStyle="1" w:styleId="NO">
    <w:name w:val="NO"/>
    <w:basedOn w:val="Normal"/>
    <w:rsid w:val="00DF018A"/>
    <w:pPr>
      <w:keepLines/>
      <w:ind w:left="1135" w:hanging="851"/>
    </w:pPr>
  </w:style>
  <w:style w:type="paragraph" w:styleId="TOC9">
    <w:name w:val="toc 9"/>
    <w:basedOn w:val="TOC8"/>
    <w:semiHidden/>
    <w:rsid w:val="00DF018A"/>
    <w:pPr>
      <w:ind w:left="1418" w:hanging="1418"/>
    </w:pPr>
  </w:style>
  <w:style w:type="paragraph" w:customStyle="1" w:styleId="EX">
    <w:name w:val="EX"/>
    <w:basedOn w:val="Normal"/>
    <w:rsid w:val="00DF018A"/>
    <w:pPr>
      <w:keepLines/>
      <w:ind w:left="1702" w:hanging="1418"/>
    </w:pPr>
  </w:style>
  <w:style w:type="paragraph" w:customStyle="1" w:styleId="FP">
    <w:name w:val="FP"/>
    <w:basedOn w:val="Normal"/>
    <w:rsid w:val="00DF018A"/>
    <w:pPr>
      <w:spacing w:after="0"/>
    </w:pPr>
  </w:style>
  <w:style w:type="paragraph" w:customStyle="1" w:styleId="LD">
    <w:name w:val="LD"/>
    <w:rsid w:val="00DF01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F018A"/>
    <w:pPr>
      <w:spacing w:after="0"/>
    </w:pPr>
  </w:style>
  <w:style w:type="paragraph" w:customStyle="1" w:styleId="EW">
    <w:name w:val="EW"/>
    <w:basedOn w:val="EX"/>
    <w:rsid w:val="00DF018A"/>
    <w:pPr>
      <w:spacing w:after="0"/>
    </w:pPr>
  </w:style>
  <w:style w:type="paragraph" w:styleId="TOC6">
    <w:name w:val="toc 6"/>
    <w:basedOn w:val="TOC5"/>
    <w:next w:val="Normal"/>
    <w:semiHidden/>
    <w:rsid w:val="00DF018A"/>
    <w:pPr>
      <w:ind w:left="1985" w:hanging="1985"/>
    </w:pPr>
  </w:style>
  <w:style w:type="paragraph" w:styleId="TOC7">
    <w:name w:val="toc 7"/>
    <w:basedOn w:val="TOC6"/>
    <w:next w:val="Normal"/>
    <w:semiHidden/>
    <w:rsid w:val="00DF018A"/>
    <w:pPr>
      <w:ind w:left="2268" w:hanging="2268"/>
    </w:pPr>
  </w:style>
  <w:style w:type="paragraph" w:styleId="ListBullet2">
    <w:name w:val="List Bullet 2"/>
    <w:basedOn w:val="ListBullet"/>
    <w:semiHidden/>
    <w:rsid w:val="00DF018A"/>
    <w:pPr>
      <w:ind w:left="851"/>
    </w:pPr>
  </w:style>
  <w:style w:type="paragraph" w:styleId="ListBullet3">
    <w:name w:val="List Bullet 3"/>
    <w:basedOn w:val="ListBullet2"/>
    <w:semiHidden/>
    <w:rsid w:val="00DF018A"/>
    <w:pPr>
      <w:ind w:left="1135"/>
    </w:pPr>
  </w:style>
  <w:style w:type="paragraph" w:styleId="ListNumber">
    <w:name w:val="List Number"/>
    <w:basedOn w:val="List"/>
    <w:semiHidden/>
    <w:rsid w:val="00DF018A"/>
  </w:style>
  <w:style w:type="paragraph" w:customStyle="1" w:styleId="EQ">
    <w:name w:val="EQ"/>
    <w:basedOn w:val="Normal"/>
    <w:next w:val="Normal"/>
    <w:rsid w:val="00DF01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F01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01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01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F018A"/>
    <w:pPr>
      <w:jc w:val="right"/>
    </w:pPr>
  </w:style>
  <w:style w:type="paragraph" w:customStyle="1" w:styleId="H6">
    <w:name w:val="H6"/>
    <w:basedOn w:val="Heading5"/>
    <w:next w:val="Normal"/>
    <w:rsid w:val="00DF01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F018A"/>
    <w:pPr>
      <w:ind w:left="851" w:hanging="851"/>
    </w:pPr>
  </w:style>
  <w:style w:type="paragraph" w:customStyle="1" w:styleId="TAL">
    <w:name w:val="TAL"/>
    <w:basedOn w:val="Normal"/>
    <w:link w:val="TALChar"/>
    <w:qFormat/>
    <w:rsid w:val="00DF01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01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F01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F01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F01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F018A"/>
    <w:pPr>
      <w:framePr w:wrap="notBeside" w:y="16161"/>
    </w:pPr>
  </w:style>
  <w:style w:type="character" w:customStyle="1" w:styleId="ZGSM">
    <w:name w:val="ZGSM"/>
    <w:rsid w:val="00DF018A"/>
  </w:style>
  <w:style w:type="paragraph" w:styleId="List2">
    <w:name w:val="List 2"/>
    <w:basedOn w:val="List"/>
    <w:semiHidden/>
    <w:rsid w:val="00DF018A"/>
    <w:pPr>
      <w:ind w:left="851"/>
    </w:pPr>
  </w:style>
  <w:style w:type="paragraph" w:customStyle="1" w:styleId="ZG">
    <w:name w:val="ZG"/>
    <w:rsid w:val="00DF01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F018A"/>
    <w:pPr>
      <w:ind w:left="1135"/>
    </w:pPr>
  </w:style>
  <w:style w:type="paragraph" w:styleId="List4">
    <w:name w:val="List 4"/>
    <w:basedOn w:val="List3"/>
    <w:semiHidden/>
    <w:rsid w:val="00DF018A"/>
    <w:pPr>
      <w:ind w:left="1418"/>
    </w:pPr>
  </w:style>
  <w:style w:type="paragraph" w:styleId="List5">
    <w:name w:val="List 5"/>
    <w:basedOn w:val="List4"/>
    <w:semiHidden/>
    <w:rsid w:val="00DF018A"/>
    <w:pPr>
      <w:ind w:left="1702"/>
    </w:pPr>
  </w:style>
  <w:style w:type="paragraph" w:customStyle="1" w:styleId="EditorsNote">
    <w:name w:val="Editor's Note"/>
    <w:basedOn w:val="NO"/>
    <w:rsid w:val="00DF018A"/>
    <w:rPr>
      <w:color w:val="FF0000"/>
    </w:rPr>
  </w:style>
  <w:style w:type="paragraph" w:styleId="List">
    <w:name w:val="List"/>
    <w:basedOn w:val="Normal"/>
    <w:semiHidden/>
    <w:rsid w:val="00DF018A"/>
    <w:pPr>
      <w:ind w:left="568" w:hanging="284"/>
    </w:pPr>
  </w:style>
  <w:style w:type="paragraph" w:styleId="ListBullet">
    <w:name w:val="List Bullet"/>
    <w:basedOn w:val="List"/>
    <w:semiHidden/>
    <w:rsid w:val="00DF018A"/>
  </w:style>
  <w:style w:type="paragraph" w:styleId="ListBullet4">
    <w:name w:val="List Bullet 4"/>
    <w:basedOn w:val="ListBullet3"/>
    <w:semiHidden/>
    <w:rsid w:val="00DF018A"/>
    <w:pPr>
      <w:ind w:left="1418"/>
    </w:pPr>
  </w:style>
  <w:style w:type="paragraph" w:styleId="ListBullet5">
    <w:name w:val="List Bullet 5"/>
    <w:basedOn w:val="ListBullet4"/>
    <w:semiHidden/>
    <w:rsid w:val="00DF018A"/>
    <w:pPr>
      <w:ind w:left="1702"/>
    </w:pPr>
  </w:style>
  <w:style w:type="paragraph" w:customStyle="1" w:styleId="B1">
    <w:name w:val="B1"/>
    <w:basedOn w:val="List"/>
    <w:link w:val="B1Char"/>
    <w:qFormat/>
    <w:rsid w:val="00DF018A"/>
  </w:style>
  <w:style w:type="paragraph" w:customStyle="1" w:styleId="B2">
    <w:name w:val="B2"/>
    <w:basedOn w:val="List2"/>
    <w:rsid w:val="00DF018A"/>
  </w:style>
  <w:style w:type="paragraph" w:customStyle="1" w:styleId="B3">
    <w:name w:val="B3"/>
    <w:basedOn w:val="List3"/>
    <w:rsid w:val="00DF018A"/>
  </w:style>
  <w:style w:type="paragraph" w:customStyle="1" w:styleId="B4">
    <w:name w:val="B4"/>
    <w:basedOn w:val="List4"/>
    <w:rsid w:val="00DF018A"/>
  </w:style>
  <w:style w:type="paragraph" w:customStyle="1" w:styleId="B5">
    <w:name w:val="B5"/>
    <w:basedOn w:val="List5"/>
    <w:rsid w:val="00DF018A"/>
  </w:style>
  <w:style w:type="paragraph" w:styleId="Footer">
    <w:name w:val="footer"/>
    <w:basedOn w:val="Header"/>
    <w:rsid w:val="00DF018A"/>
    <w:pPr>
      <w:jc w:val="center"/>
    </w:pPr>
    <w:rPr>
      <w:i/>
    </w:rPr>
  </w:style>
  <w:style w:type="paragraph" w:customStyle="1" w:styleId="ZTD">
    <w:name w:val="ZTD"/>
    <w:basedOn w:val="ZB"/>
    <w:rsid w:val="00DF01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목록 단락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Default">
    <w:name w:val="Default"/>
    <w:basedOn w:val="Normal"/>
    <w:rsid w:val="001C3296"/>
    <w:pPr>
      <w:overflowPunct/>
      <w:adjustRightInd/>
      <w:spacing w:after="0"/>
      <w:textAlignment w:val="auto"/>
    </w:pPr>
    <w:rPr>
      <w:rFonts w:eastAsiaTheme="minorHAnsi"/>
      <w:color w:val="000000"/>
      <w:sz w:val="24"/>
      <w:szCs w:val="24"/>
      <w:lang w:val="fi-FI" w:eastAsia="fi-FI"/>
    </w:rPr>
  </w:style>
  <w:style w:type="character" w:customStyle="1" w:styleId="THChar">
    <w:name w:val="TH Char"/>
    <w:link w:val="TH"/>
    <w:qFormat/>
    <w:rsid w:val="00C24C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24C90"/>
    <w:rPr>
      <w:rFonts w:ascii="Arial" w:hAnsi="Arial"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674D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9674D4"/>
    <w:rPr>
      <w:rFonts w:ascii="Arial" w:eastAsia="Arial" w:hAnsi="Arial"/>
      <w:b/>
      <w:bCs/>
      <w:noProof/>
      <w:sz w:val="22"/>
      <w:lang w:val="en-GB" w:eastAsia="en-US"/>
    </w:rPr>
  </w:style>
  <w:style w:type="table" w:styleId="TableGrid">
    <w:name w:val="Table Grid"/>
    <w:basedOn w:val="TableNormal"/>
    <w:uiPriority w:val="59"/>
    <w:rsid w:val="00E13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A5455"/>
    <w:rPr>
      <w:sz w:val="24"/>
      <w:szCs w:val="24"/>
    </w:rPr>
  </w:style>
  <w:style w:type="character" w:customStyle="1" w:styleId="TALChar">
    <w:name w:val="TAL Char"/>
    <w:link w:val="TAL"/>
    <w:rsid w:val="00A645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750A5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Paragrafo elenco Char"/>
    <w:link w:val="ListParagraph"/>
    <w:uiPriority w:val="34"/>
    <w:qFormat/>
    <w:rsid w:val="00D309FF"/>
    <w:rPr>
      <w:rFonts w:ascii="Times New Roman" w:hAnsi="Times New Roman"/>
      <w:lang w:val="en-GB" w:eastAsia="en-US"/>
    </w:rPr>
  </w:style>
  <w:style w:type="paragraph" w:customStyle="1" w:styleId="11BodyText">
    <w:name w:val="11 BodyText"/>
    <w:basedOn w:val="Normal"/>
    <w:link w:val="11BodyTextChar"/>
    <w:rsid w:val="00236867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lang w:val="en-US" w:eastAsia="x-none"/>
    </w:rPr>
  </w:style>
  <w:style w:type="character" w:customStyle="1" w:styleId="11BodyTextChar">
    <w:name w:val="11 BodyText Char"/>
    <w:link w:val="11BodyText"/>
    <w:rsid w:val="00236867"/>
    <w:rPr>
      <w:rFonts w:ascii="Arial" w:hAnsi="Arial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1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659FE-F849-464A-BD20-12F09E00B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1321</TotalTime>
  <Pages>2</Pages>
  <Words>574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Nokia-user</cp:lastModifiedBy>
  <cp:revision>5</cp:revision>
  <cp:lastPrinted>1900-01-01T06:00:00Z</cp:lastPrinted>
  <dcterms:created xsi:type="dcterms:W3CDTF">2020-04-05T10:03:00Z</dcterms:created>
  <dcterms:modified xsi:type="dcterms:W3CDTF">2020-04-10T08:26:00Z</dcterms:modified>
</cp:coreProperties>
</file>